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F9" w:rsidRPr="00B87BCA" w:rsidRDefault="00DA0EF9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B87BCA">
        <w:rPr>
          <w:rFonts w:ascii="Arial" w:hAnsi="Arial" w:cs="Arial"/>
          <w:bCs/>
        </w:rPr>
        <w:t xml:space="preserve">Приложение № </w:t>
      </w:r>
      <w:r w:rsidRPr="00B87BCA">
        <w:rPr>
          <w:rFonts w:ascii="Arial" w:hAnsi="Arial" w:cs="Arial"/>
        </w:rPr>
        <w:t>2.3.1</w:t>
      </w:r>
    </w:p>
    <w:p w:rsidR="00DA0EF9" w:rsidRPr="00B87BCA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B87BCA">
        <w:rPr>
          <w:rFonts w:ascii="Arial" w:hAnsi="Arial" w:cs="Arial"/>
        </w:rPr>
        <w:t>к Тарифному соглашению</w:t>
      </w:r>
    </w:p>
    <w:p w:rsidR="00DA0EF9" w:rsidRPr="00B87BCA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B87BCA">
        <w:rPr>
          <w:rFonts w:ascii="Arial" w:hAnsi="Arial" w:cs="Arial"/>
        </w:rPr>
        <w:t>по оплате</w:t>
      </w:r>
      <w:r w:rsidRPr="00B87BCA">
        <w:rPr>
          <w:rFonts w:ascii="Arial" w:hAnsi="Arial" w:cs="Arial"/>
          <w:bCs/>
        </w:rPr>
        <w:t xml:space="preserve"> </w:t>
      </w:r>
      <w:r w:rsidRPr="00B87BCA">
        <w:rPr>
          <w:rFonts w:ascii="Arial" w:hAnsi="Arial" w:cs="Arial"/>
        </w:rPr>
        <w:t>медицинской помощи</w:t>
      </w:r>
    </w:p>
    <w:p w:rsidR="00DA0EF9" w:rsidRPr="00B87BCA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B87BCA">
        <w:rPr>
          <w:rFonts w:ascii="Arial" w:hAnsi="Arial" w:cs="Arial"/>
        </w:rPr>
        <w:t>в сфере</w:t>
      </w:r>
      <w:r w:rsidRPr="00B87BCA">
        <w:rPr>
          <w:rFonts w:ascii="Arial" w:hAnsi="Arial" w:cs="Arial"/>
          <w:bCs/>
        </w:rPr>
        <w:t xml:space="preserve"> </w:t>
      </w:r>
      <w:r w:rsidRPr="00B87BCA">
        <w:rPr>
          <w:rFonts w:ascii="Arial" w:hAnsi="Arial" w:cs="Arial"/>
        </w:rPr>
        <w:t xml:space="preserve">обязательного </w:t>
      </w:r>
    </w:p>
    <w:p w:rsidR="00DA0EF9" w:rsidRPr="00B87BCA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B87BCA">
        <w:rPr>
          <w:rFonts w:ascii="Arial" w:hAnsi="Arial" w:cs="Arial"/>
        </w:rPr>
        <w:t xml:space="preserve">медицинского страхования </w:t>
      </w:r>
    </w:p>
    <w:p w:rsidR="00DA0EF9" w:rsidRPr="00B87BCA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B87BCA">
        <w:rPr>
          <w:rFonts w:ascii="Arial" w:hAnsi="Arial" w:cs="Arial"/>
        </w:rPr>
        <w:t>Курганской области на 202</w:t>
      </w:r>
      <w:r w:rsidR="000E65E6" w:rsidRPr="00B87BCA">
        <w:rPr>
          <w:rFonts w:ascii="Arial" w:hAnsi="Arial" w:cs="Arial"/>
        </w:rPr>
        <w:t>4</w:t>
      </w:r>
      <w:r w:rsidRPr="00B87BCA">
        <w:rPr>
          <w:rFonts w:ascii="Arial" w:hAnsi="Arial" w:cs="Arial"/>
        </w:rPr>
        <w:t xml:space="preserve"> год</w:t>
      </w:r>
    </w:p>
    <w:p w:rsidR="00DA0EF9" w:rsidRPr="00B87BCA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</w:p>
    <w:p w:rsidR="008F094D" w:rsidRPr="00B87BCA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B87BCA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B87BCA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B87BCA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 w:rsidRPr="00B87BCA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</w:t>
      </w:r>
      <w:r w:rsidR="004477AA" w:rsidRPr="00B87BCA">
        <w:rPr>
          <w:rFonts w:ascii="Arial" w:hAnsi="Arial" w:cs="Arial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4477AA" w:rsidRPr="00B87BCA">
        <w:rPr>
          <w:rFonts w:ascii="Arial" w:hAnsi="Arial" w:cs="Arial"/>
        </w:rPr>
        <w:t>биопсийного</w:t>
      </w:r>
      <w:proofErr w:type="spellEnd"/>
      <w:r w:rsidR="004477AA" w:rsidRPr="00B87BCA">
        <w:rPr>
          <w:rFonts w:ascii="Arial" w:hAnsi="Arial" w:cs="Arial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 w:rsidR="004477AA" w:rsidRPr="00B87BCA">
        <w:rPr>
          <w:rFonts w:ascii="Arial" w:hAnsi="Arial" w:cs="Arial"/>
        </w:rPr>
        <w:t>биопсийного</w:t>
      </w:r>
      <w:proofErr w:type="spellEnd"/>
      <w:r w:rsidR="004477AA" w:rsidRPr="00B87BCA">
        <w:rPr>
          <w:rFonts w:ascii="Arial" w:hAnsi="Arial" w:cs="Arial"/>
        </w:rPr>
        <w:t xml:space="preserve"> (операционного) материала), </w:t>
      </w:r>
      <w:r w:rsidR="00034174" w:rsidRPr="00B87BCA">
        <w:rPr>
          <w:rFonts w:ascii="Arial" w:hAnsi="Arial" w:cs="Arial"/>
        </w:rPr>
        <w:t xml:space="preserve">на проведение </w:t>
      </w:r>
      <w:r w:rsidR="004477AA" w:rsidRPr="00B87BCA">
        <w:rPr>
          <w:rFonts w:ascii="Arial" w:hAnsi="Arial" w:cs="Arial"/>
        </w:rPr>
        <w:t xml:space="preserve">тестирования на выявление новой </w:t>
      </w:r>
      <w:proofErr w:type="spellStart"/>
      <w:r w:rsidR="004477AA" w:rsidRPr="00B87BCA">
        <w:rPr>
          <w:rFonts w:ascii="Arial" w:hAnsi="Arial" w:cs="Arial"/>
        </w:rPr>
        <w:t>коронавирусной</w:t>
      </w:r>
      <w:proofErr w:type="spellEnd"/>
      <w:r w:rsidR="004477AA" w:rsidRPr="00B87BCA">
        <w:rPr>
          <w:rFonts w:ascii="Arial" w:hAnsi="Arial" w:cs="Arial"/>
        </w:rPr>
        <w:t xml:space="preserve"> инфекции (COVID-19), профилактических медицинских осмотров и диспансеризации, в том числе углубленной диспансеризации</w:t>
      </w:r>
      <w:r w:rsidR="002F22C3" w:rsidRPr="00B87BCA">
        <w:rPr>
          <w:color w:val="000000"/>
          <w:sz w:val="28"/>
          <w:szCs w:val="28"/>
        </w:rPr>
        <w:t xml:space="preserve"> </w:t>
      </w:r>
      <w:r w:rsidR="002F22C3" w:rsidRPr="00B87BCA">
        <w:rPr>
          <w:rFonts w:ascii="Arial" w:hAnsi="Arial" w:cs="Arial"/>
        </w:rPr>
        <w:t>и диспансеризации для оценки репродуктивного здоровья женщин и мужчин</w:t>
      </w:r>
      <w:r w:rsidR="004477AA" w:rsidRPr="00B87BCA">
        <w:rPr>
          <w:rFonts w:ascii="Arial" w:hAnsi="Arial" w:cs="Arial"/>
        </w:rPr>
        <w:t>, а также средств на оплату диспансерного наблюдения</w:t>
      </w:r>
      <w:r w:rsidR="00F23C6A" w:rsidRPr="00B87BCA">
        <w:rPr>
          <w:rFonts w:ascii="Arial" w:hAnsi="Arial" w:cs="Arial"/>
        </w:rPr>
        <w:t>, включая диспансерное наблюдение работающих граждан,</w:t>
      </w:r>
      <w:r w:rsidR="004477AA" w:rsidRPr="00B87BCA">
        <w:rPr>
          <w:rFonts w:ascii="Arial" w:hAnsi="Arial" w:cs="Arial"/>
        </w:rPr>
        <w:t xml:space="preserve">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4477AA" w:rsidRPr="00B87BCA">
        <w:rPr>
          <w:rFonts w:ascii="Arial" w:eastAsiaTheme="minorHAnsi" w:hAnsi="Arial" w:cs="Arial"/>
          <w:lang w:eastAsia="en-US"/>
        </w:rPr>
        <w:t xml:space="preserve"> </w:t>
      </w:r>
      <w:r w:rsidRPr="00B87BCA">
        <w:rPr>
          <w:rFonts w:ascii="Arial" w:eastAsiaTheme="minorHAnsi" w:hAnsi="Arial" w:cs="Arial"/>
          <w:lang w:eastAsia="en-US"/>
        </w:rPr>
        <w:t xml:space="preserve">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B87BCA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 w:rsidRPr="00B87BCA">
        <w:rPr>
          <w:rFonts w:ascii="Arial" w:eastAsiaTheme="minorHAnsi" w:hAnsi="Arial" w:cs="Arial"/>
          <w:lang w:eastAsia="en-US"/>
        </w:rPr>
        <w:t>ена</w:t>
      </w:r>
      <w:r w:rsidRPr="00B87BCA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</w:t>
      </w:r>
      <w:r w:rsidR="000016CF" w:rsidRPr="00B87BCA">
        <w:rPr>
          <w:rFonts w:ascii="Arial" w:eastAsiaTheme="minorHAnsi" w:hAnsi="Arial" w:cs="Arial"/>
          <w:lang w:eastAsia="en-US"/>
        </w:rPr>
        <w:t>2</w:t>
      </w:r>
      <w:r w:rsidR="00E00A50" w:rsidRPr="00B87BCA">
        <w:rPr>
          <w:rFonts w:ascii="Arial" w:eastAsiaTheme="minorHAnsi" w:hAnsi="Arial" w:cs="Arial"/>
          <w:lang w:eastAsia="en-US"/>
        </w:rPr>
        <w:t>,5</w:t>
      </w:r>
      <w:r w:rsidR="000016CF" w:rsidRPr="00B87BCA">
        <w:rPr>
          <w:rFonts w:ascii="Arial" w:eastAsiaTheme="minorHAnsi" w:hAnsi="Arial" w:cs="Arial"/>
          <w:lang w:eastAsia="en-US"/>
        </w:rPr>
        <w:t xml:space="preserve"> </w:t>
      </w:r>
      <w:r w:rsidRPr="00B87BCA">
        <w:rPr>
          <w:rFonts w:ascii="Arial" w:eastAsiaTheme="minorHAnsi" w:hAnsi="Arial" w:cs="Arial"/>
          <w:lang w:eastAsia="en-US"/>
        </w:rPr>
        <w:t xml:space="preserve">процентов от базового </w:t>
      </w:r>
      <w:proofErr w:type="spellStart"/>
      <w:r w:rsidRPr="00B87BCA">
        <w:rPr>
          <w:rFonts w:ascii="Arial" w:eastAsiaTheme="minorHAnsi" w:hAnsi="Arial" w:cs="Arial"/>
          <w:lang w:eastAsia="en-US"/>
        </w:rPr>
        <w:t>подушевого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норматива финансирования на прикрепившихся лиц.</w:t>
      </w:r>
      <w:r w:rsidR="00393EC1" w:rsidRPr="00B87BCA">
        <w:rPr>
          <w:rFonts w:ascii="Arial" w:eastAsiaTheme="minorHAnsi" w:hAnsi="Arial" w:cs="Arial"/>
          <w:lang w:eastAsia="en-US"/>
        </w:rPr>
        <w:t xml:space="preserve"> </w:t>
      </w:r>
    </w:p>
    <w:p w:rsidR="00DA0EF9" w:rsidRPr="00B87BCA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Р</w:t>
      </w:r>
      <w:r w:rsidR="00DA0EF9" w:rsidRPr="00B87BCA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 w:rsidRPr="00B87BCA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 w:rsidRPr="00B87BCA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ОС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ОС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 xml:space="preserve">объем средств, направляемых медицинским организациям в случае достижения ими значений показателей результативности </w:t>
            </w:r>
            <w:r w:rsidRPr="00B87BCA">
              <w:rPr>
                <w:rFonts w:ascii="Arial" w:eastAsiaTheme="minorHAnsi" w:hAnsi="Arial" w:cs="Arial"/>
                <w:lang w:eastAsia="en-US"/>
              </w:rPr>
              <w:lastRenderedPageBreak/>
              <w:t>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0"/>
              </w:rPr>
              <w:lastRenderedPageBreak/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 xml:space="preserve">фактический дифференцированный 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подушевой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B87BCA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 w:rsidRPr="00B87BCA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B87BCA">
        <w:rPr>
          <w:rFonts w:ascii="Arial" w:eastAsiaTheme="minorHAnsi" w:hAnsi="Arial" w:cs="Arial"/>
          <w:lang w:eastAsia="en-US"/>
        </w:rPr>
        <w:t xml:space="preserve"> од</w:t>
      </w:r>
      <w:r w:rsidR="00393EC1" w:rsidRPr="00B87BCA">
        <w:rPr>
          <w:rFonts w:ascii="Arial" w:eastAsiaTheme="minorHAnsi" w:hAnsi="Arial" w:cs="Arial"/>
          <w:lang w:eastAsia="en-US"/>
        </w:rPr>
        <w:t>и</w:t>
      </w:r>
      <w:r w:rsidRPr="00B87BCA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B87BCA">
        <w:rPr>
          <w:rFonts w:ascii="Arial" w:eastAsiaTheme="minorHAnsi" w:hAnsi="Arial" w:cs="Arial"/>
          <w:lang w:eastAsia="en-US"/>
        </w:rPr>
        <w:t>производится</w:t>
      </w:r>
      <w:r w:rsidRPr="00B87BCA">
        <w:rPr>
          <w:rFonts w:ascii="Arial" w:eastAsiaTheme="minorHAnsi" w:hAnsi="Arial" w:cs="Arial"/>
          <w:lang w:eastAsia="en-US"/>
        </w:rPr>
        <w:t xml:space="preserve"> </w:t>
      </w:r>
      <w:r w:rsidR="000016CF" w:rsidRPr="00B87BCA">
        <w:rPr>
          <w:rFonts w:ascii="Arial" w:eastAsiaTheme="minorHAnsi" w:hAnsi="Arial" w:cs="Arial"/>
          <w:lang w:eastAsia="en-US"/>
        </w:rPr>
        <w:t>по итогам</w:t>
      </w:r>
      <w:r w:rsidR="000016CF" w:rsidRPr="00B87BCA">
        <w:rPr>
          <w:rFonts w:ascii="Arial" w:eastAsiaTheme="minorHAnsi" w:hAnsi="Arial" w:cs="Arial"/>
          <w:b/>
          <w:lang w:eastAsia="en-US"/>
        </w:rPr>
        <w:t xml:space="preserve"> </w:t>
      </w:r>
      <w:r w:rsidRPr="00B87BCA">
        <w:rPr>
          <w:rFonts w:ascii="Arial" w:eastAsiaTheme="minorHAnsi" w:hAnsi="Arial" w:cs="Arial"/>
          <w:lang w:eastAsia="en-US"/>
        </w:rPr>
        <w:t>каждого полугодия.</w:t>
      </w:r>
    </w:p>
    <w:p w:rsidR="00EB6791" w:rsidRPr="00B87BCA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</w:t>
      </w:r>
      <w:r w:rsidR="000E65E6" w:rsidRPr="00B87BCA">
        <w:rPr>
          <w:rFonts w:ascii="Arial" w:eastAsiaTheme="minorHAnsi" w:hAnsi="Arial" w:cs="Arial"/>
          <w:lang w:eastAsia="en-US"/>
        </w:rPr>
        <w:t>3</w:t>
      </w:r>
      <w:r w:rsidRPr="00B87BCA">
        <w:rPr>
          <w:rFonts w:ascii="Arial" w:eastAsiaTheme="minorHAnsi" w:hAnsi="Arial" w:cs="Arial"/>
          <w:lang w:eastAsia="en-US"/>
        </w:rPr>
        <w:t xml:space="preserve"> года - ноябрь 202</w:t>
      </w:r>
      <w:r w:rsidR="000E65E6" w:rsidRPr="00B87BCA">
        <w:rPr>
          <w:rFonts w:ascii="Arial" w:eastAsiaTheme="minorHAnsi" w:hAnsi="Arial" w:cs="Arial"/>
          <w:lang w:eastAsia="en-US"/>
        </w:rPr>
        <w:t>4</w:t>
      </w:r>
      <w:r w:rsidRPr="00B87BCA">
        <w:rPr>
          <w:rFonts w:ascii="Arial" w:eastAsiaTheme="minorHAnsi" w:hAnsi="Arial" w:cs="Arial"/>
          <w:lang w:eastAsia="en-US"/>
        </w:rPr>
        <w:t xml:space="preserve"> года (включительно) и включаются в счет за декабрь.</w:t>
      </w:r>
    </w:p>
    <w:p w:rsidR="00EB6791" w:rsidRPr="00B87BCA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 медицинской помощи за декабрь 202</w:t>
      </w:r>
      <w:r w:rsidR="000E65E6" w:rsidRPr="00B87BCA">
        <w:rPr>
          <w:rFonts w:ascii="Arial" w:eastAsiaTheme="minorHAnsi" w:hAnsi="Arial" w:cs="Arial"/>
          <w:lang w:eastAsia="en-US"/>
        </w:rPr>
        <w:t>3</w:t>
      </w:r>
      <w:r w:rsidRPr="00B87BCA">
        <w:rPr>
          <w:rFonts w:ascii="Arial" w:eastAsiaTheme="minorHAnsi" w:hAnsi="Arial" w:cs="Arial"/>
          <w:lang w:eastAsia="en-US"/>
        </w:rPr>
        <w:t xml:space="preserve"> года - ноябрь 202</w:t>
      </w:r>
      <w:r w:rsidR="000E65E6" w:rsidRPr="00B87BCA">
        <w:rPr>
          <w:rFonts w:ascii="Arial" w:eastAsiaTheme="minorHAnsi" w:hAnsi="Arial" w:cs="Arial"/>
          <w:lang w:eastAsia="en-US"/>
        </w:rPr>
        <w:t>4</w:t>
      </w:r>
      <w:r w:rsidRPr="00B87BCA">
        <w:rPr>
          <w:rFonts w:ascii="Arial" w:eastAsiaTheme="minorHAnsi" w:hAnsi="Arial" w:cs="Arial"/>
          <w:lang w:eastAsia="en-US"/>
        </w:rPr>
        <w:t xml:space="preserve"> года (включительно).</w:t>
      </w:r>
    </w:p>
    <w:p w:rsidR="00DA0EF9" w:rsidRPr="00B87BCA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П</w:t>
      </w:r>
      <w:r w:rsidR="00DA0EF9" w:rsidRPr="00B87BCA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B87BCA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B87BCA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B87BCA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B87BCA">
        <w:rPr>
          <w:rFonts w:ascii="Arial" w:eastAsiaTheme="minorHAnsi" w:hAnsi="Arial" w:cs="Arial"/>
          <w:lang w:eastAsia="en-US"/>
        </w:rPr>
        <w:t>2</w:t>
      </w:r>
      <w:r w:rsidRPr="00B87BCA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B87BCA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оформляется решением </w:t>
      </w:r>
      <w:r w:rsidR="00344FB8" w:rsidRPr="00B87BCA">
        <w:rPr>
          <w:rFonts w:ascii="Arial" w:eastAsiaTheme="minorHAnsi" w:hAnsi="Arial" w:cs="Arial"/>
          <w:lang w:eastAsia="en-US"/>
        </w:rPr>
        <w:t>к</w:t>
      </w:r>
      <w:r w:rsidRPr="00B87BCA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B87BCA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B87BCA">
        <w:rPr>
          <w:rFonts w:ascii="Arial" w:eastAsiaTheme="minorHAnsi" w:hAnsi="Arial" w:cs="Arial"/>
          <w:lang w:eastAsia="en-US"/>
        </w:rPr>
        <w:t>отчетн</w:t>
      </w:r>
      <w:r w:rsidR="00047833" w:rsidRPr="00B87BCA">
        <w:rPr>
          <w:rFonts w:ascii="Arial" w:eastAsiaTheme="minorHAnsi" w:hAnsi="Arial" w:cs="Arial"/>
          <w:lang w:eastAsia="en-US"/>
        </w:rPr>
        <w:t>ого</w:t>
      </w:r>
      <w:r w:rsidRPr="00B87BCA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B87BCA">
        <w:rPr>
          <w:rFonts w:ascii="Arial" w:eastAsiaTheme="minorHAnsi" w:hAnsi="Arial" w:cs="Arial"/>
          <w:lang w:eastAsia="en-US"/>
        </w:rPr>
        <w:t>а</w:t>
      </w:r>
      <w:r w:rsidRPr="00B87BCA">
        <w:rPr>
          <w:rFonts w:ascii="Arial" w:eastAsiaTheme="minorHAnsi" w:hAnsi="Arial" w:cs="Arial"/>
          <w:lang w:eastAsia="en-US"/>
        </w:rPr>
        <w:t>.</w:t>
      </w:r>
    </w:p>
    <w:p w:rsidR="008C2F53" w:rsidRPr="00B87BCA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B87BCA">
        <w:rPr>
          <w:rFonts w:ascii="Arial" w:eastAsiaTheme="minorHAnsi" w:hAnsi="Arial" w:cs="Arial"/>
          <w:lang w:eastAsia="en-US"/>
        </w:rPr>
        <w:t>ю</w:t>
      </w:r>
      <w:r w:rsidRPr="00B87BCA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 w:rsidRPr="00B87BCA">
        <w:rPr>
          <w:rFonts w:ascii="Arial" w:eastAsiaTheme="minorHAnsi" w:hAnsi="Arial" w:cs="Arial"/>
          <w:lang w:eastAsia="en-US"/>
        </w:rPr>
        <w:t>М</w:t>
      </w:r>
      <w:r w:rsidRPr="00B87BCA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- </w:t>
      </w:r>
      <w:r w:rsidR="0043070E" w:rsidRPr="00B87BCA">
        <w:rPr>
          <w:rFonts w:ascii="Arial" w:eastAsiaTheme="minorHAnsi" w:hAnsi="Arial" w:cs="Arial"/>
          <w:lang w:eastAsia="en-US"/>
        </w:rPr>
        <w:t>19</w:t>
      </w:r>
      <w:r w:rsidRPr="00B87BCA">
        <w:rPr>
          <w:rFonts w:ascii="Arial" w:eastAsiaTheme="minorHAnsi" w:hAnsi="Arial" w:cs="Arial"/>
          <w:lang w:eastAsia="en-US"/>
        </w:rPr>
        <w:t xml:space="preserve"> баллов для показателей блока 1</w:t>
      </w:r>
      <w:r w:rsidR="0043070E" w:rsidRPr="00B87BCA">
        <w:rPr>
          <w:rFonts w:ascii="Arial" w:eastAsiaTheme="minorHAnsi" w:hAnsi="Arial" w:cs="Arial"/>
          <w:lang w:eastAsia="en-US"/>
        </w:rPr>
        <w:t xml:space="preserve"> (взрослое население)</w:t>
      </w:r>
      <w:r w:rsidRPr="00B87BCA">
        <w:rPr>
          <w:rFonts w:ascii="Arial" w:eastAsiaTheme="minorHAnsi" w:hAnsi="Arial" w:cs="Arial"/>
          <w:lang w:eastAsia="en-US"/>
        </w:rPr>
        <w:t>;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- </w:t>
      </w:r>
      <w:r w:rsidR="0043070E" w:rsidRPr="00B87BCA">
        <w:rPr>
          <w:rFonts w:ascii="Arial" w:eastAsiaTheme="minorHAnsi" w:hAnsi="Arial" w:cs="Arial"/>
          <w:lang w:eastAsia="en-US"/>
        </w:rPr>
        <w:t>7</w:t>
      </w:r>
      <w:r w:rsidRPr="00B87BCA">
        <w:rPr>
          <w:rFonts w:ascii="Arial" w:eastAsiaTheme="minorHAnsi" w:hAnsi="Arial" w:cs="Arial"/>
          <w:lang w:eastAsia="en-US"/>
        </w:rPr>
        <w:t xml:space="preserve"> баллов для показателей блока 2</w:t>
      </w:r>
      <w:r w:rsidR="0043070E" w:rsidRPr="00B87BCA">
        <w:rPr>
          <w:rFonts w:ascii="Arial" w:eastAsiaTheme="minorHAnsi" w:hAnsi="Arial" w:cs="Arial"/>
          <w:lang w:eastAsia="en-US"/>
        </w:rPr>
        <w:t xml:space="preserve"> (детское население)</w:t>
      </w:r>
      <w:r w:rsidRPr="00B87BCA">
        <w:rPr>
          <w:rFonts w:ascii="Arial" w:eastAsiaTheme="minorHAnsi" w:hAnsi="Arial" w:cs="Arial"/>
          <w:lang w:eastAsia="en-US"/>
        </w:rPr>
        <w:t>;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- </w:t>
      </w:r>
      <w:r w:rsidR="0043070E" w:rsidRPr="00B87BCA">
        <w:rPr>
          <w:rFonts w:ascii="Arial" w:eastAsiaTheme="minorHAnsi" w:hAnsi="Arial" w:cs="Arial"/>
          <w:lang w:eastAsia="en-US"/>
        </w:rPr>
        <w:t>6</w:t>
      </w:r>
      <w:r w:rsidRPr="00B87BCA">
        <w:rPr>
          <w:rFonts w:ascii="Arial" w:eastAsiaTheme="minorHAnsi" w:hAnsi="Arial" w:cs="Arial"/>
          <w:lang w:eastAsia="en-US"/>
        </w:rPr>
        <w:t xml:space="preserve"> баллов для показателей блока 3</w:t>
      </w:r>
      <w:r w:rsidR="0043070E" w:rsidRPr="00B87BCA">
        <w:rPr>
          <w:rFonts w:ascii="Arial" w:eastAsiaTheme="minorHAnsi" w:hAnsi="Arial" w:cs="Arial"/>
          <w:lang w:eastAsia="en-US"/>
        </w:rPr>
        <w:t xml:space="preserve"> (женское население)</w:t>
      </w:r>
      <w:r w:rsidRPr="00B87BCA">
        <w:rPr>
          <w:rFonts w:ascii="Arial" w:eastAsiaTheme="minorHAnsi" w:hAnsi="Arial" w:cs="Arial"/>
          <w:lang w:eastAsia="en-US"/>
        </w:rPr>
        <w:t>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0E3966" w:rsidRPr="00B87BCA">
        <w:rPr>
          <w:rFonts w:ascii="Arial" w:eastAsiaTheme="minorHAnsi" w:hAnsi="Arial" w:cs="Arial"/>
          <w:lang w:eastAsia="en-US"/>
        </w:rPr>
        <w:t>2</w:t>
      </w:r>
      <w:r w:rsidRPr="00B87BCA">
        <w:rPr>
          <w:rFonts w:ascii="Arial" w:eastAsiaTheme="minorHAnsi" w:hAnsi="Arial" w:cs="Arial"/>
          <w:lang w:eastAsia="en-US"/>
        </w:rPr>
        <w:t xml:space="preserve"> баллов.</w:t>
      </w:r>
    </w:p>
    <w:p w:rsidR="00364910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lastRenderedPageBreak/>
        <w:t>С учетом фактического выполнения показателей, медицинск</w:t>
      </w:r>
      <w:r w:rsidR="00A07243" w:rsidRPr="00B87BCA">
        <w:rPr>
          <w:rFonts w:ascii="Arial" w:eastAsiaTheme="minorHAnsi" w:hAnsi="Arial" w:cs="Arial"/>
          <w:lang w:eastAsia="en-US"/>
        </w:rPr>
        <w:t>и</w:t>
      </w:r>
      <w:r w:rsidRPr="00B87BCA">
        <w:rPr>
          <w:rFonts w:ascii="Arial" w:eastAsiaTheme="minorHAnsi" w:hAnsi="Arial" w:cs="Arial"/>
          <w:lang w:eastAsia="en-US"/>
        </w:rPr>
        <w:t>е организации распределяются на три группы:</w:t>
      </w:r>
    </w:p>
    <w:p w:rsidR="00364910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I - выполнившие до </w:t>
      </w:r>
      <w:r w:rsidR="009F51C7" w:rsidRPr="00B87BCA">
        <w:rPr>
          <w:rFonts w:ascii="Arial" w:eastAsiaTheme="minorHAnsi" w:hAnsi="Arial" w:cs="Arial"/>
          <w:lang w:eastAsia="en-US"/>
        </w:rPr>
        <w:t>4</w:t>
      </w:r>
      <w:r w:rsidRPr="00B87BCA">
        <w:rPr>
          <w:rFonts w:ascii="Arial" w:eastAsiaTheme="minorHAnsi" w:hAnsi="Arial" w:cs="Arial"/>
          <w:lang w:eastAsia="en-US"/>
        </w:rPr>
        <w:t>0 процентов показателей,</w:t>
      </w:r>
    </w:p>
    <w:p w:rsidR="00364910" w:rsidRPr="00B87BCA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</w:t>
      </w:r>
      <w:r w:rsidR="00DA0EF9" w:rsidRPr="00B87BCA">
        <w:rPr>
          <w:rFonts w:ascii="Arial" w:eastAsiaTheme="minorHAnsi" w:hAnsi="Arial" w:cs="Arial"/>
          <w:lang w:eastAsia="en-US"/>
        </w:rPr>
        <w:t xml:space="preserve">II - от </w:t>
      </w:r>
      <w:r w:rsidR="009F51C7" w:rsidRPr="00B87BCA">
        <w:rPr>
          <w:rFonts w:ascii="Arial" w:eastAsiaTheme="minorHAnsi" w:hAnsi="Arial" w:cs="Arial"/>
          <w:lang w:eastAsia="en-US"/>
        </w:rPr>
        <w:t>40 (включительно)</w:t>
      </w:r>
      <w:r w:rsidR="00DA0EF9" w:rsidRPr="00B87BCA">
        <w:rPr>
          <w:rFonts w:ascii="Arial" w:eastAsiaTheme="minorHAnsi" w:hAnsi="Arial" w:cs="Arial"/>
          <w:lang w:eastAsia="en-US"/>
        </w:rPr>
        <w:t xml:space="preserve"> до </w:t>
      </w:r>
      <w:r w:rsidR="009F51C7" w:rsidRPr="00B87BCA">
        <w:rPr>
          <w:rFonts w:ascii="Arial" w:eastAsiaTheme="minorHAnsi" w:hAnsi="Arial" w:cs="Arial"/>
          <w:lang w:eastAsia="en-US"/>
        </w:rPr>
        <w:t>60</w:t>
      </w:r>
      <w:r w:rsidR="00DA0EF9" w:rsidRPr="00B87BCA">
        <w:rPr>
          <w:rFonts w:ascii="Arial" w:eastAsiaTheme="minorHAnsi" w:hAnsi="Arial" w:cs="Arial"/>
          <w:lang w:eastAsia="en-US"/>
        </w:rPr>
        <w:t xml:space="preserve"> процентов показателей,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III - </w:t>
      </w:r>
      <w:r w:rsidR="009F51C7" w:rsidRPr="00B87BCA">
        <w:rPr>
          <w:rFonts w:ascii="Arial" w:eastAsiaTheme="minorHAnsi" w:hAnsi="Arial" w:cs="Arial"/>
          <w:lang w:eastAsia="en-US"/>
        </w:rPr>
        <w:t>от 60 (включительно)</w:t>
      </w:r>
      <w:r w:rsidRPr="00B87BCA">
        <w:rPr>
          <w:rFonts w:ascii="Arial" w:eastAsiaTheme="minorHAnsi" w:hAnsi="Arial" w:cs="Arial"/>
          <w:lang w:eastAsia="en-US"/>
        </w:rPr>
        <w:t xml:space="preserve"> процентов показателей.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  <w:p w:rsidR="004504ED" w:rsidRPr="00B87BCA" w:rsidRDefault="004504E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:rsidR="004504ED" w:rsidRPr="00B87BCA" w:rsidRDefault="004504ED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4504ED" w:rsidRPr="00B87BCA" w:rsidRDefault="004504ED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</w:p>
    <w:p w:rsidR="004504ED" w:rsidRPr="00B87BCA" w:rsidRDefault="00436F2E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                            </w:t>
      </w:r>
      <w:r w:rsidR="004504ED" w:rsidRPr="00B87BCA">
        <w:rPr>
          <w:rFonts w:ascii="Arial" w:eastAsiaTheme="minorHAnsi" w:hAnsi="Arial" w:cs="Arial"/>
          <w:noProof/>
        </w:rPr>
        <w:drawing>
          <wp:inline distT="0" distB="0" distL="0" distR="0" wp14:anchorId="588F382B" wp14:editId="096AAB1B">
            <wp:extent cx="2766060" cy="429895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4ED" w:rsidRPr="00B87BCA" w:rsidRDefault="004504ED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</w:t>
            </w:r>
            <w:proofErr w:type="spellEnd"/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среднегодовая численность прикрепленного населения к i-той медицинской организации в j-м году,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мес1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первого месяца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го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года,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мес2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второго месяца года, следующего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тым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>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lastRenderedPageBreak/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мес11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одиннадцатого месяца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го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года,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мес12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двенадцатого месяца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го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года, человек.</w:t>
            </w:r>
          </w:p>
        </w:tc>
      </w:tr>
    </w:tbl>
    <w:p w:rsidR="004504ED" w:rsidRPr="00B87BCA" w:rsidRDefault="004504ED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B87BCA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B87BCA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  <w:proofErr w:type="gramEnd"/>
      <w:r w:rsidRPr="00B87BCA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7BCA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EA3570" w:rsidRPr="00B87BCA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</w:t>
      </w:r>
      <w:r w:rsidR="009F51C7" w:rsidRPr="00B87BCA">
        <w:rPr>
          <w:rFonts w:ascii="Arial" w:eastAsiaTheme="minorHAnsi" w:hAnsi="Arial" w:cs="Arial"/>
          <w:lang w:eastAsia="en-US"/>
        </w:rPr>
        <w:t>и</w:t>
      </w:r>
      <w:r w:rsidRPr="00B87BCA">
        <w:rPr>
          <w:rFonts w:ascii="Arial" w:eastAsiaTheme="minorHAnsi" w:hAnsi="Arial" w:cs="Arial"/>
          <w:lang w:eastAsia="en-US"/>
        </w:rPr>
        <w:t>й период.</w:t>
      </w:r>
    </w:p>
    <w:p w:rsidR="00DA0EF9" w:rsidRPr="00B87BCA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B87BCA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 w:rsidRPr="00B87BCA">
        <w:rPr>
          <w:rFonts w:ascii="Arial" w:eastAsiaTheme="minorHAnsi" w:hAnsi="Arial" w:cs="Arial"/>
          <w:lang w:eastAsia="en-US"/>
        </w:rPr>
        <w:t xml:space="preserve">организаций </w:t>
      </w:r>
      <w:r w:rsidRPr="00B87BCA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  <w:proofErr w:type="gramEnd"/>
      <w:r w:rsidRPr="00B87BCA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0"/>
              </w:rPr>
              <w:lastRenderedPageBreak/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EB6791" w:rsidRPr="00B87BCA" w:rsidRDefault="00DA0EF9" w:rsidP="00EA357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EB6791" w:rsidRPr="00B87BCA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B87BCA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B87BCA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</w:t>
      </w:r>
      <w:r w:rsidR="001300D4" w:rsidRPr="00B87BCA">
        <w:rPr>
          <w:rFonts w:ascii="Arial" w:eastAsiaTheme="minorHAnsi" w:hAnsi="Arial" w:cs="Arial"/>
          <w:lang w:eastAsia="en-US"/>
        </w:rPr>
        <w:t xml:space="preserve"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детского), а также </w:t>
      </w:r>
      <w:r w:rsidRPr="00B87BCA">
        <w:rPr>
          <w:rFonts w:ascii="Arial" w:eastAsiaTheme="minorHAnsi" w:hAnsi="Arial" w:cs="Arial"/>
          <w:lang w:eastAsia="en-US"/>
        </w:rPr>
        <w:t xml:space="preserve">фактического выполнения не менее 90 </w:t>
      </w:r>
      <w:r w:rsidR="009F771A" w:rsidRPr="00B87BCA">
        <w:rPr>
          <w:rFonts w:ascii="Arial" w:eastAsiaTheme="minorHAnsi" w:hAnsi="Arial" w:cs="Arial"/>
          <w:lang w:eastAsia="en-US"/>
        </w:rPr>
        <w:t>процентов,</w:t>
      </w:r>
      <w:r w:rsidRPr="00B87BCA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B87BCA" w:rsidRDefault="001300D4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В случае, если не достигнуто снижение вышеуказанных показателей смертности прикрепленного населения (взрослого и детского) </w:t>
      </w:r>
      <w:r w:rsidRPr="00B87BCA">
        <w:rPr>
          <w:rFonts w:ascii="Arial" w:eastAsiaTheme="minorHAnsi" w:hAnsi="Arial" w:cs="Arial"/>
          <w:lang w:eastAsia="en-US"/>
        </w:rPr>
        <w:br/>
        <w:t xml:space="preserve">и (или) </w:t>
      </w:r>
      <w:r w:rsidR="00DA0EF9" w:rsidRPr="00B87BCA">
        <w:rPr>
          <w:rFonts w:ascii="Arial" w:eastAsiaTheme="minorHAnsi" w:hAnsi="Arial" w:cs="Arial"/>
          <w:lang w:eastAsia="en-US"/>
        </w:rPr>
        <w:t xml:space="preserve">выполнения медицинской организацией менее 90 процентов указанного объема медицинской помощи, Комиссия </w:t>
      </w:r>
      <w:r w:rsidR="004E4247" w:rsidRPr="00B87BCA">
        <w:rPr>
          <w:rFonts w:ascii="Arial" w:eastAsiaTheme="minorHAnsi" w:hAnsi="Arial" w:cs="Arial"/>
          <w:lang w:eastAsia="en-US"/>
        </w:rPr>
        <w:t>п</w:t>
      </w:r>
      <w:r w:rsidR="00DA0EF9" w:rsidRPr="00B87BCA">
        <w:rPr>
          <w:rFonts w:ascii="Arial" w:eastAsiaTheme="minorHAnsi" w:hAnsi="Arial" w:cs="Arial"/>
          <w:lang w:eastAsia="en-US"/>
        </w:rPr>
        <w:t>римен</w:t>
      </w:r>
      <w:r w:rsidR="004E4247" w:rsidRPr="00B87BCA">
        <w:rPr>
          <w:rFonts w:ascii="Arial" w:eastAsiaTheme="minorHAnsi" w:hAnsi="Arial" w:cs="Arial"/>
          <w:lang w:eastAsia="en-US"/>
        </w:rPr>
        <w:t>ит</w:t>
      </w:r>
      <w:r w:rsidR="00DA0EF9" w:rsidRPr="00B87BCA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</w:t>
      </w:r>
      <w:r w:rsidRPr="00B87BCA">
        <w:rPr>
          <w:rFonts w:ascii="Arial" w:eastAsiaTheme="minorHAnsi" w:hAnsi="Arial" w:cs="Arial"/>
          <w:lang w:eastAsia="en-US"/>
        </w:rPr>
        <w:t>.</w:t>
      </w:r>
      <w:r w:rsidR="00DA0EF9" w:rsidRPr="00B87BCA">
        <w:rPr>
          <w:rFonts w:ascii="Arial" w:eastAsiaTheme="minorHAnsi" w:hAnsi="Arial" w:cs="Arial"/>
          <w:lang w:eastAsia="en-US"/>
        </w:rPr>
        <w:t xml:space="preserve"> в зависимости от процента выполнения объемов медицинской помощи.</w:t>
      </w:r>
    </w:p>
    <w:p w:rsidR="00223625" w:rsidRPr="00B87BCA" w:rsidRDefault="00223625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trike/>
          <w:lang w:eastAsia="en-US"/>
        </w:rPr>
        <w:sectPr w:rsidR="00223625" w:rsidRPr="00B87B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625" w:rsidRPr="00B87BCA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Перечень медицинских организаций с указанием групп показателей результативности</w:t>
      </w:r>
    </w:p>
    <w:tbl>
      <w:tblPr>
        <w:tblW w:w="5207" w:type="pct"/>
        <w:tblLayout w:type="fixed"/>
        <w:tblLook w:val="04A0" w:firstRow="1" w:lastRow="0" w:firstColumn="1" w:lastColumn="0" w:noHBand="0" w:noVBand="1"/>
      </w:tblPr>
      <w:tblGrid>
        <w:gridCol w:w="421"/>
        <w:gridCol w:w="1982"/>
        <w:gridCol w:w="599"/>
        <w:gridCol w:w="351"/>
        <w:gridCol w:w="351"/>
        <w:gridCol w:w="402"/>
        <w:gridCol w:w="425"/>
        <w:gridCol w:w="422"/>
        <w:gridCol w:w="285"/>
        <w:gridCol w:w="425"/>
        <w:gridCol w:w="425"/>
        <w:gridCol w:w="425"/>
        <w:gridCol w:w="425"/>
        <w:gridCol w:w="425"/>
        <w:gridCol w:w="425"/>
        <w:gridCol w:w="425"/>
        <w:gridCol w:w="452"/>
        <w:gridCol w:w="567"/>
        <w:gridCol w:w="425"/>
        <w:gridCol w:w="425"/>
        <w:gridCol w:w="567"/>
        <w:gridCol w:w="567"/>
        <w:gridCol w:w="425"/>
        <w:gridCol w:w="570"/>
        <w:gridCol w:w="585"/>
        <w:gridCol w:w="564"/>
        <w:gridCol w:w="428"/>
        <w:gridCol w:w="428"/>
        <w:gridCol w:w="431"/>
        <w:gridCol w:w="516"/>
      </w:tblGrid>
      <w:tr w:rsidR="00F4755C" w:rsidRPr="00B87BCA" w:rsidTr="00F4755C">
        <w:trPr>
          <w:trHeight w:val="25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  <w:proofErr w:type="spellStart"/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6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97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3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1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№ показателя</w:t>
            </w: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Количество балов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F4755C" w:rsidRPr="00B87BCA" w:rsidTr="00F4755C">
        <w:trPr>
          <w:trHeight w:val="51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Далматовская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Катайская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Шадринская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№3"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№4"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№5"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№6"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№7"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№8"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областная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F4755C" w:rsidRPr="00B87BCA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Шадринская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городская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  <w:bookmarkStart w:id="0" w:name="_GoBack"/>
            <w:bookmarkEnd w:id="0"/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16CF"/>
    <w:rsid w:val="00007BEE"/>
    <w:rsid w:val="00034174"/>
    <w:rsid w:val="00047833"/>
    <w:rsid w:val="000613BB"/>
    <w:rsid w:val="000811A1"/>
    <w:rsid w:val="000B2C87"/>
    <w:rsid w:val="000E3966"/>
    <w:rsid w:val="000E65E6"/>
    <w:rsid w:val="00121E44"/>
    <w:rsid w:val="001300AA"/>
    <w:rsid w:val="001300D4"/>
    <w:rsid w:val="00184FED"/>
    <w:rsid w:val="00223625"/>
    <w:rsid w:val="00262A59"/>
    <w:rsid w:val="002F22C3"/>
    <w:rsid w:val="002F40B6"/>
    <w:rsid w:val="00300F68"/>
    <w:rsid w:val="00311B46"/>
    <w:rsid w:val="00344FB8"/>
    <w:rsid w:val="00364910"/>
    <w:rsid w:val="00393EC1"/>
    <w:rsid w:val="003B0BE7"/>
    <w:rsid w:val="003B6F1D"/>
    <w:rsid w:val="003D4817"/>
    <w:rsid w:val="0043070E"/>
    <w:rsid w:val="00436F2E"/>
    <w:rsid w:val="004477AA"/>
    <w:rsid w:val="004504ED"/>
    <w:rsid w:val="004E4247"/>
    <w:rsid w:val="00527683"/>
    <w:rsid w:val="00723D29"/>
    <w:rsid w:val="007371C9"/>
    <w:rsid w:val="007A2163"/>
    <w:rsid w:val="007E3135"/>
    <w:rsid w:val="007F2AC8"/>
    <w:rsid w:val="008203A5"/>
    <w:rsid w:val="008226E7"/>
    <w:rsid w:val="008C1CB4"/>
    <w:rsid w:val="008C2F53"/>
    <w:rsid w:val="008E3080"/>
    <w:rsid w:val="008F094D"/>
    <w:rsid w:val="00925181"/>
    <w:rsid w:val="00931E61"/>
    <w:rsid w:val="009B3F7C"/>
    <w:rsid w:val="009E718B"/>
    <w:rsid w:val="009F51C7"/>
    <w:rsid w:val="009F771A"/>
    <w:rsid w:val="00A07243"/>
    <w:rsid w:val="00A10F68"/>
    <w:rsid w:val="00A75CA2"/>
    <w:rsid w:val="00AA7BD0"/>
    <w:rsid w:val="00AC4D82"/>
    <w:rsid w:val="00B20954"/>
    <w:rsid w:val="00B73AD5"/>
    <w:rsid w:val="00B87BCA"/>
    <w:rsid w:val="00B91919"/>
    <w:rsid w:val="00BF236F"/>
    <w:rsid w:val="00BF68D1"/>
    <w:rsid w:val="00C00889"/>
    <w:rsid w:val="00C312E5"/>
    <w:rsid w:val="00C31F2A"/>
    <w:rsid w:val="00C6753F"/>
    <w:rsid w:val="00D13EC5"/>
    <w:rsid w:val="00D55688"/>
    <w:rsid w:val="00D6387E"/>
    <w:rsid w:val="00DA0EF9"/>
    <w:rsid w:val="00DA4360"/>
    <w:rsid w:val="00DD196A"/>
    <w:rsid w:val="00E00A50"/>
    <w:rsid w:val="00E52B75"/>
    <w:rsid w:val="00EA3570"/>
    <w:rsid w:val="00EB18D8"/>
    <w:rsid w:val="00EB6791"/>
    <w:rsid w:val="00EF6498"/>
    <w:rsid w:val="00F10F3C"/>
    <w:rsid w:val="00F23C6A"/>
    <w:rsid w:val="00F4755C"/>
    <w:rsid w:val="00F533FA"/>
    <w:rsid w:val="00F56922"/>
    <w:rsid w:val="00F6000B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2D572-93CA-4B3D-9514-89A06CC4C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7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42</cp:revision>
  <cp:lastPrinted>2024-01-10T04:28:00Z</cp:lastPrinted>
  <dcterms:created xsi:type="dcterms:W3CDTF">2022-04-29T06:00:00Z</dcterms:created>
  <dcterms:modified xsi:type="dcterms:W3CDTF">2024-01-12T09:06:00Z</dcterms:modified>
</cp:coreProperties>
</file>