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A1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BF236F">
        <w:rPr>
          <w:rFonts w:ascii="Arial" w:hAnsi="Arial" w:cs="Arial"/>
          <w:color w:val="000000"/>
        </w:rPr>
        <w:t>3</w:t>
      </w:r>
      <w:r w:rsidR="00184F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к Дополнительному соглашению №</w:t>
      </w:r>
      <w:r w:rsidR="009E718B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 xml:space="preserve">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3B0BE7">
        <w:rPr>
          <w:rFonts w:ascii="Arial" w:hAnsi="Arial" w:cs="Arial"/>
        </w:rPr>
        <w:t xml:space="preserve">от </w:t>
      </w:r>
      <w:r w:rsidR="00C312E5">
        <w:rPr>
          <w:rFonts w:ascii="Arial" w:hAnsi="Arial" w:cs="Arial"/>
        </w:rPr>
        <w:t>27</w:t>
      </w:r>
      <w:r w:rsidR="00BF236F" w:rsidRPr="003B0BE7">
        <w:rPr>
          <w:rFonts w:ascii="Arial" w:hAnsi="Arial" w:cs="Arial"/>
        </w:rPr>
        <w:t>.0</w:t>
      </w:r>
      <w:r w:rsidR="009E718B">
        <w:rPr>
          <w:rFonts w:ascii="Arial" w:hAnsi="Arial" w:cs="Arial"/>
        </w:rPr>
        <w:t>7</w:t>
      </w:r>
      <w:r w:rsidRPr="003B0BE7">
        <w:rPr>
          <w:rFonts w:ascii="Arial" w:hAnsi="Arial" w:cs="Arial"/>
        </w:rPr>
        <w:t xml:space="preserve">.2022 </w:t>
      </w:r>
      <w:r>
        <w:rPr>
          <w:rFonts w:ascii="Arial" w:hAnsi="Arial" w:cs="Arial"/>
          <w:color w:val="000000"/>
        </w:rPr>
        <w:t>г.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Тарифному соглашению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оплате медицинской помощи</w:t>
      </w:r>
    </w:p>
    <w:p w:rsidR="008F094D" w:rsidRDefault="008F094D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в сфере обязательного </w:t>
      </w:r>
      <w:r w:rsidR="00DA0EF9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Курганской области на 2022 год</w:t>
      </w:r>
    </w:p>
    <w:p w:rsidR="00DA0EF9" w:rsidRPr="0027595A" w:rsidRDefault="00DA0EF9" w:rsidP="00DA0EF9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27595A">
        <w:rPr>
          <w:rFonts w:ascii="Arial" w:hAnsi="Arial" w:cs="Arial"/>
          <w:bCs/>
        </w:rPr>
        <w:t xml:space="preserve">Приложение № </w:t>
      </w:r>
      <w:r>
        <w:rPr>
          <w:rFonts w:ascii="Arial" w:hAnsi="Arial" w:cs="Arial"/>
          <w:color w:val="000000"/>
        </w:rPr>
        <w:t>2.3.1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 Тарифному соглашению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по оплате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>медицинской помощи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в </w:t>
      </w:r>
      <w:r w:rsidRPr="0027595A">
        <w:rPr>
          <w:rFonts w:ascii="Arial" w:hAnsi="Arial" w:cs="Arial"/>
        </w:rPr>
        <w:t>сфере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 xml:space="preserve">обязательного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Курганской области на 202</w:t>
      </w:r>
      <w:r>
        <w:rPr>
          <w:rFonts w:ascii="Arial" w:hAnsi="Arial" w:cs="Arial"/>
          <w:color w:val="000000"/>
        </w:rPr>
        <w:t>2</w:t>
      </w:r>
      <w:r w:rsidRPr="0027595A">
        <w:rPr>
          <w:rFonts w:ascii="Arial" w:hAnsi="Arial" w:cs="Arial"/>
          <w:color w:val="000000"/>
        </w:rPr>
        <w:t xml:space="preserve"> год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8F094D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Arial" w:eastAsiaTheme="minorHAnsi" w:hAnsi="Arial" w:cs="Arial"/>
          <w:lang w:eastAsia="en-US"/>
        </w:rPr>
        <w:t>биопсийного</w:t>
      </w:r>
      <w:proofErr w:type="spellEnd"/>
      <w:r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>
        <w:rPr>
          <w:rFonts w:ascii="Arial" w:eastAsiaTheme="minorHAnsi" w:hAnsi="Arial" w:cs="Arial"/>
          <w:lang w:eastAsia="en-US"/>
        </w:rPr>
        <w:t>ена</w:t>
      </w:r>
      <w:r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>
        <w:rPr>
          <w:rFonts w:ascii="Arial" w:eastAsiaTheme="minorHAnsi" w:hAnsi="Arial" w:cs="Arial"/>
          <w:lang w:eastAsia="en-US"/>
        </w:rPr>
        <w:t>подушевого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>
        <w:rPr>
          <w:rFonts w:ascii="Arial" w:eastAsiaTheme="minorHAnsi" w:hAnsi="Arial" w:cs="Arial"/>
          <w:lang w:eastAsia="en-US"/>
        </w:rPr>
        <w:t xml:space="preserve"> 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</w:t>
      </w:r>
      <w:r w:rsidR="00DA0EF9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>
        <w:rPr>
          <w:rFonts w:ascii="Arial" w:eastAsiaTheme="minorHAnsi" w:hAnsi="Arial" w:cs="Arial"/>
          <w:lang w:eastAsia="en-US"/>
        </w:rPr>
        <w:t xml:space="preserve"> </w:t>
      </w:r>
      <w:r w:rsidR="00393EC1" w:rsidRPr="00393EC1">
        <w:rPr>
          <w:rFonts w:ascii="Arial" w:eastAsiaTheme="minorHAnsi" w:hAnsi="Arial" w:cs="Arial"/>
          <w:lang w:eastAsia="en-US"/>
        </w:rPr>
        <w:t>по разработке территориальной программы обязательного медицинского страхования в Курганской области» (далее –комиссия)</w:t>
      </w:r>
      <w:r>
        <w:rPr>
          <w:rFonts w:ascii="Arial" w:eastAsiaTheme="minorHAnsi" w:hAnsi="Arial" w:cs="Arial"/>
          <w:lang w:eastAsia="en-US"/>
        </w:rPr>
        <w:t xml:space="preserve"> од</w:t>
      </w:r>
      <w:r w:rsidR="00393EC1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047833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047833">
        <w:rPr>
          <w:rFonts w:ascii="Arial" w:eastAsiaTheme="minorHAnsi" w:hAnsi="Arial" w:cs="Arial"/>
          <w:lang w:eastAsia="en-US"/>
        </w:rPr>
        <w:t xml:space="preserve">Осуществление выплат </w:t>
      </w:r>
      <w:r>
        <w:rPr>
          <w:rFonts w:ascii="Arial" w:eastAsiaTheme="minorHAnsi" w:hAnsi="Arial" w:cs="Arial"/>
          <w:lang w:eastAsia="en-US"/>
        </w:rPr>
        <w:t xml:space="preserve">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047833">
        <w:rPr>
          <w:rFonts w:ascii="Arial" w:eastAsiaTheme="minorHAnsi" w:hAnsi="Arial" w:cs="Arial"/>
          <w:lang w:eastAsia="en-US"/>
        </w:rPr>
        <w:t>производится</w:t>
      </w:r>
      <w:r w:rsidRPr="00047833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П</w:t>
      </w:r>
      <w:r w:rsidR="00DA0EF9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t xml:space="preserve">Порядок расчета значений критериев результативности деятельности медицинских организаций представлен приложением </w:t>
      </w:r>
      <w:r>
        <w:rPr>
          <w:rFonts w:ascii="Arial" w:eastAsiaTheme="minorHAnsi" w:hAnsi="Arial" w:cs="Arial"/>
          <w:lang w:eastAsia="en-US"/>
        </w:rPr>
        <w:t>2.3.</w:t>
      </w:r>
      <w:r w:rsidR="008C2F53">
        <w:rPr>
          <w:rFonts w:ascii="Arial" w:eastAsiaTheme="minorHAnsi" w:hAnsi="Arial" w:cs="Arial"/>
          <w:lang w:eastAsia="en-US"/>
        </w:rPr>
        <w:t>2</w:t>
      </w:r>
      <w:r w:rsidRPr="00EF649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B91919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91919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B91919">
        <w:rPr>
          <w:rFonts w:ascii="Arial" w:eastAsiaTheme="minorHAnsi" w:hAnsi="Arial" w:cs="Arial"/>
          <w:lang w:eastAsia="en-US"/>
        </w:rPr>
        <w:t>к</w:t>
      </w:r>
      <w:r w:rsidRPr="00B91919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B91919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B91919">
        <w:rPr>
          <w:rFonts w:ascii="Arial" w:eastAsiaTheme="minorHAnsi" w:hAnsi="Arial" w:cs="Arial"/>
          <w:lang w:eastAsia="en-US"/>
        </w:rPr>
        <w:t>отчетн</w:t>
      </w:r>
      <w:r w:rsidR="00047833" w:rsidRPr="00B91919">
        <w:rPr>
          <w:rFonts w:ascii="Arial" w:eastAsiaTheme="minorHAnsi" w:hAnsi="Arial" w:cs="Arial"/>
          <w:lang w:eastAsia="en-US"/>
        </w:rPr>
        <w:t>ого</w:t>
      </w:r>
      <w:r w:rsidRPr="00B91919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B91919">
        <w:rPr>
          <w:rFonts w:ascii="Arial" w:eastAsiaTheme="minorHAnsi" w:hAnsi="Arial" w:cs="Arial"/>
          <w:lang w:eastAsia="en-US"/>
        </w:rPr>
        <w:t>а</w:t>
      </w:r>
      <w:r w:rsidRPr="00B91919">
        <w:rPr>
          <w:rFonts w:ascii="Arial" w:eastAsiaTheme="minorHAnsi" w:hAnsi="Arial" w:cs="Arial"/>
          <w:lang w:eastAsia="en-US"/>
        </w:rPr>
        <w:t>.</w:t>
      </w:r>
    </w:p>
    <w:p w:rsidR="008C2F53" w:rsidRPr="008C2F53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8C2F53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</w:t>
      </w:r>
      <w:bookmarkStart w:id="0" w:name="_GoBack"/>
      <w:bookmarkEnd w:id="0"/>
      <w:r w:rsidRPr="008C2F53">
        <w:rPr>
          <w:rFonts w:ascii="Arial" w:eastAsiaTheme="minorHAnsi" w:hAnsi="Arial" w:cs="Arial"/>
          <w:lang w:eastAsia="en-US"/>
        </w:rPr>
        <w:t>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047833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047833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047833">
        <w:rPr>
          <w:rFonts w:ascii="Arial" w:eastAsiaTheme="minorHAnsi" w:hAnsi="Arial" w:cs="Arial"/>
          <w:lang w:eastAsia="en-US"/>
        </w:rPr>
        <w:t>ю</w:t>
      </w:r>
      <w:r w:rsidRPr="00047833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>
        <w:rPr>
          <w:rFonts w:ascii="Arial" w:eastAsiaTheme="minorHAnsi" w:hAnsi="Arial" w:cs="Arial"/>
          <w:lang w:eastAsia="en-US"/>
        </w:rPr>
        <w:t>М</w:t>
      </w:r>
      <w:r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- 6 баллов для показателей блока 3.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DA0EF9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 xml:space="preserve"> III - свыше 70 процентов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>
        <w:rPr>
          <w:rFonts w:ascii="Arial" w:eastAsiaTheme="minorHAnsi" w:hAnsi="Arial" w:cs="Arial"/>
          <w:lang w:eastAsia="en-US"/>
        </w:rPr>
        <w:t xml:space="preserve">результативности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lastRenderedPageBreak/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>
        <w:rPr>
          <w:rFonts w:ascii="Arial" w:eastAsiaTheme="minorHAnsi" w:hAnsi="Arial" w:cs="Arial"/>
          <w:lang w:eastAsia="en-US"/>
        </w:rPr>
        <w:t xml:space="preserve">организаций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>
        <w:rPr>
          <w:rFonts w:ascii="Arial" w:eastAsiaTheme="minorHAnsi" w:hAnsi="Arial" w:cs="Arial"/>
          <w:lang w:eastAsia="en-US"/>
        </w:rPr>
        <w:t>процентов,</w:t>
      </w:r>
      <w:r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>
        <w:rPr>
          <w:rFonts w:ascii="Arial" w:eastAsiaTheme="minorHAnsi" w:hAnsi="Arial" w:cs="Arial"/>
          <w:lang w:eastAsia="en-US"/>
        </w:rPr>
        <w:t>п</w:t>
      </w:r>
      <w:r>
        <w:rPr>
          <w:rFonts w:ascii="Arial" w:eastAsiaTheme="minorHAnsi" w:hAnsi="Arial" w:cs="Arial"/>
          <w:lang w:eastAsia="en-US"/>
        </w:rPr>
        <w:t>римен</w:t>
      </w:r>
      <w:r w:rsidR="004E4247">
        <w:rPr>
          <w:rFonts w:ascii="Arial" w:eastAsiaTheme="minorHAnsi" w:hAnsi="Arial" w:cs="Arial"/>
          <w:lang w:eastAsia="en-US"/>
        </w:rPr>
        <w:t>ит</w:t>
      </w:r>
      <w:r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4E4247">
        <w:rPr>
          <w:rFonts w:ascii="Arial" w:eastAsiaTheme="minorHAnsi" w:hAnsi="Arial" w:cs="Arial"/>
          <w:lang w:eastAsia="en-US"/>
        </w:rPr>
        <w:t xml:space="preserve">подлежит корректировке </w:t>
      </w:r>
      <w:r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3D4817" w:rsidRPr="00223625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proofErr w:type="spellStart"/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3D4817" w:rsidRPr="00223625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817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Альменевская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Глядянская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Каргапольская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Н.А.Рокиной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Кетовская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Куртамышская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Лебяжьевская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Макушинская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Мишкинская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Мокроусовская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Петуховская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Половинская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Сафакулевская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Частоозерская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Шатровская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Шумихинская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Щучанская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Юргамышская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7E3135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44FB8" w:rsidRPr="00344FB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FB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BF236F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color w:val="FF0000"/>
          <w:lang w:eastAsia="en-US"/>
        </w:rPr>
      </w:pPr>
    </w:p>
    <w:sectPr w:rsidR="00223625" w:rsidRPr="00BF236F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C2F53"/>
    <w:rsid w:val="008F094D"/>
    <w:rsid w:val="00931E61"/>
    <w:rsid w:val="009B3F7C"/>
    <w:rsid w:val="009E718B"/>
    <w:rsid w:val="009F771A"/>
    <w:rsid w:val="00A07243"/>
    <w:rsid w:val="00AA7BD0"/>
    <w:rsid w:val="00B73AD5"/>
    <w:rsid w:val="00B91919"/>
    <w:rsid w:val="00BF236F"/>
    <w:rsid w:val="00C312E5"/>
    <w:rsid w:val="00C31F2A"/>
    <w:rsid w:val="00DA0EF9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24F7A-2B8E-4A53-804E-FC629285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Костромина Е.В.</cp:lastModifiedBy>
  <cp:revision>14</cp:revision>
  <dcterms:created xsi:type="dcterms:W3CDTF">2022-04-29T06:00:00Z</dcterms:created>
  <dcterms:modified xsi:type="dcterms:W3CDTF">2022-07-28T11:20:00Z</dcterms:modified>
</cp:coreProperties>
</file>