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BB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Приложение № </w:t>
      </w:r>
      <w:r w:rsidR="004D492B">
        <w:rPr>
          <w:rFonts w:ascii="Arial" w:hAnsi="Arial" w:cs="Arial"/>
        </w:rPr>
        <w:t>5</w:t>
      </w:r>
      <w:bookmarkStart w:id="0" w:name="_GoBack"/>
      <w:bookmarkEnd w:id="0"/>
    </w:p>
    <w:p w:rsidR="00DA0EF9" w:rsidRPr="00EB18D8" w:rsidRDefault="004D492B" w:rsidP="000613BB">
      <w:pPr>
        <w:ind w:firstLine="5529"/>
        <w:jc w:val="right"/>
        <w:outlineLvl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  протоколу</w:t>
      </w:r>
      <w:proofErr w:type="gramEnd"/>
      <w:r>
        <w:rPr>
          <w:rFonts w:ascii="Arial" w:hAnsi="Arial" w:cs="Arial"/>
        </w:rPr>
        <w:t xml:space="preserve"> заседания</w:t>
      </w:r>
    </w:p>
    <w:p w:rsidR="00DA0EF9" w:rsidRDefault="004D492B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комиссии по разработке</w:t>
      </w:r>
    </w:p>
    <w:p w:rsidR="004D492B" w:rsidRDefault="004D492B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территориальной программы </w:t>
      </w:r>
    </w:p>
    <w:p w:rsidR="004D492B" w:rsidRDefault="004D492B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обязательного медицинского страхования Курганской области от 30.09.2022</w:t>
      </w:r>
    </w:p>
    <w:p w:rsidR="004D492B" w:rsidRPr="00EB18D8" w:rsidRDefault="004D492B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Приложение №3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B18D8">
        <w:rPr>
          <w:rFonts w:ascii="Arial" w:eastAsiaTheme="minorHAnsi" w:hAnsi="Arial" w:cs="Arial"/>
          <w:lang w:eastAsia="en-US"/>
        </w:rPr>
        <w:t>биопсийного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коронавирусной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фактический дифференцированный подушевой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2021 года - ноябрь 2022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2021 года - ноябрь 2022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- 6 баллов для показателей блока 3.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 I - выполнившие до 50 процентов показателей,</w:t>
      </w:r>
    </w:p>
    <w:p w:rsidR="00364910" w:rsidRPr="00EB18D8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 </w:t>
      </w:r>
      <w:r w:rsidR="00DA0EF9" w:rsidRPr="00EB18D8">
        <w:rPr>
          <w:rFonts w:ascii="Arial" w:eastAsiaTheme="minorHAnsi" w:hAnsi="Arial" w:cs="Arial"/>
          <w:lang w:eastAsia="en-US"/>
        </w:rPr>
        <w:t>II - от 50 до 70 процентов показателей,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 III - свыше 70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DA0EF9" w:rsidRPr="00EB18D8" w:rsidRDefault="00DA0EF9" w:rsidP="00DA0EF9">
      <w:pPr>
        <w:autoSpaceDE w:val="0"/>
        <w:autoSpaceDN w:val="0"/>
        <w:adjustRightInd w:val="0"/>
        <w:spacing w:before="24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  <w:p w:rsidR="00EB6791" w:rsidRPr="00EB18D8" w:rsidRDefault="00EB679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коронавирусной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EB18D8" w:rsidRPr="00EB18D8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№пп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EB18D8" w:rsidRPr="00EB18D8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"Альменевская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"Варгашинская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"Глядянская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"Далматовская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"Звериноголовская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"Каргапольская центральная районная больница имени Н.А.Рокиной"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"Катайская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"Кетовская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"Куртамышская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"Лебяжьевская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"Макушинская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"Мишкинская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"Мокроусовская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"Петуховская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"Половинская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"Сафакулевская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"Частоозерская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"Шадринская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"Шатровская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"Шумихинская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"Щучанская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"Юргамышская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"Шадринская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"Шадринская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D492B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31E61"/>
    <w:rsid w:val="009B3F7C"/>
    <w:rsid w:val="009E718B"/>
    <w:rsid w:val="009F771A"/>
    <w:rsid w:val="00A07243"/>
    <w:rsid w:val="00AA7BD0"/>
    <w:rsid w:val="00B73AD5"/>
    <w:rsid w:val="00B91919"/>
    <w:rsid w:val="00BF236F"/>
    <w:rsid w:val="00C312E5"/>
    <w:rsid w:val="00C31F2A"/>
    <w:rsid w:val="00DA0EF9"/>
    <w:rsid w:val="00EB18D8"/>
    <w:rsid w:val="00EB6791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D1D07-4FF2-459E-92A3-ECDD2CB8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2</cp:revision>
  <cp:lastPrinted>2022-10-04T05:40:00Z</cp:lastPrinted>
  <dcterms:created xsi:type="dcterms:W3CDTF">2022-10-04T09:24:00Z</dcterms:created>
  <dcterms:modified xsi:type="dcterms:W3CDTF">2022-10-04T09:24:00Z</dcterms:modified>
</cp:coreProperties>
</file>